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rPr>
        <w:t>通辽市人民政府</w:t>
      </w:r>
      <w:r>
        <w:rPr>
          <w:rFonts w:hint="eastAsia" w:ascii="Times New Roman" w:hAnsi="Times New Roman" w:eastAsia="方正小标宋简体" w:cs="方正小标宋简体"/>
          <w:sz w:val="44"/>
          <w:szCs w:val="44"/>
          <w:lang w:eastAsia="zh-CN"/>
        </w:rPr>
        <w:t>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关于印发2023年通辽市创新驱动发展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rPr>
        <w:t>重点工作行动方案的通知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各旗县市区人民政府、开发区管委会，市政府各委办局，有关企事业单位：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经市人民政府同意，</w:t>
      </w:r>
      <w:r>
        <w:rPr>
          <w:rFonts w:hint="default" w:ascii="Times New Roman" w:hAnsi="Times New Roman" w:eastAsia="仿宋_GB2312" w:cs="Times New Roman"/>
          <w:sz w:val="32"/>
          <w:szCs w:val="32"/>
        </w:rPr>
        <w:t>现将《2023年通辽市创新驱动发展重点工作行动方案》印发给你们，请结合实际认真贯彻落实。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2023年6月1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（此件公开发布）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p>
    <w:p>
      <w:pPr>
        <w:spacing w:line="560" w:lineRule="exact"/>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2023年通辽市创新驱动发展重点工作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行动方案</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Times New Roman" w:hAnsi="Times New Roman" w:eastAsia="方正仿宋_GBK" w:cs="方正仿宋_GBK"/>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为加快实施创新驱动发展战略，贯彻市委、市政府提出的“创新引领，改革赋能”的发展要求，推动“科技兴蒙”行动走深走实，达到激发全社会创新创业潜能的目的，结合我市实际，制定如下方案。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以习近平新时代中国特色社会主义思想为指导，深入贯彻党的二十大精神，全面落实习近平总书记交给内蒙古的“五大任务”，将高质量发展放在首位，全面贯彻新发展理念，</w:t>
      </w:r>
      <w:r>
        <w:rPr>
          <w:rFonts w:hint="eastAsia" w:ascii="Times New Roman" w:hAnsi="Times New Roman" w:eastAsia="仿宋_GB2312" w:cs="仿宋_GB2312"/>
          <w:b w:val="0"/>
          <w:bCs w:val="0"/>
          <w:sz w:val="32"/>
          <w:szCs w:val="32"/>
          <w:lang w:eastAsia="zh-CN"/>
        </w:rPr>
        <w:t>服务和融入</w:t>
      </w:r>
      <w:r>
        <w:rPr>
          <w:rFonts w:hint="eastAsia" w:ascii="Times New Roman" w:hAnsi="Times New Roman" w:eastAsia="仿宋_GB2312" w:cs="仿宋_GB2312"/>
          <w:b w:val="0"/>
          <w:bCs w:val="0"/>
          <w:sz w:val="32"/>
          <w:szCs w:val="32"/>
        </w:rPr>
        <w:t>新发展格局，聚焦我市创新驱动能力不足的问题，以扎实推进“科技兴蒙”行动为统领，探索实施创新驱动战略的有效途径，围绕产业链部署创新链，立足我市传统优势产业和具备发展潜力的战略性新兴产业发掘创新潜力，推动产业链、创新链、资金链、人才链融合发展，向创新要活力，以科技谋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二、目标任务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围绕产业链部署创新链，实施重点研发计划和成果转化等项目50项以上；深入实施研发投入攻坚行动，力争全市全社会研发投入增长50%以上；强化创新平台载体提质增效，年内培育认定各类科技创新平台15个以上；实施科技企业“双倍增”计划，年底全市有效期内高新技术企业总数达到70家以上、入库科技型中小企业数达到80家以上；提升规上企业创新能力，全市规上工业企业科技创新“三个全覆盖”覆盖率达到35%以上；认真做好技术合同交易登记工作，全市技术合同交易额达到1.5亿元；帮助科技型企业解决资金难题，力争年内实现科技融资5000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黑体" w:cs="黑体"/>
          <w:b w:val="0"/>
          <w:bCs w:val="0"/>
          <w:sz w:val="32"/>
          <w:szCs w:val="32"/>
        </w:rPr>
        <w:t>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（一）助力创新主体量质齐升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培育科技型企业，提升创新主体数量。实施科技企业“双倍增”计划，制定出台并实施《通辽市2023</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2025年高新技术企业及入库科技型中小企业高质量发展行动计划》，努力构建科技型中小企业</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高新技术企业</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科技领军企业成长梯队。2023年底全市有效期内高新技术企业总数达到70家以上、入库科技型中小企业数达到80家以上。</w:t>
      </w:r>
      <w:r>
        <w:rPr>
          <w:rFonts w:hint="eastAsia" w:ascii="Times New Roman" w:hAnsi="Times New Roman" w:eastAsia="楷体_GB2312" w:cs="楷体_GB2312"/>
          <w:b w:val="0"/>
          <w:bCs w:val="0"/>
          <w:sz w:val="32"/>
          <w:szCs w:val="32"/>
        </w:rPr>
        <w:t>（责任单位：市科技局、各旗县市区）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积极培育专精特新“小巨人”企业。建立创新型、“专精特新”“小巨人”企业培育库，对创新能力强、市场发展前景好、有市场竞争力的成长型下中小企业加强调度。对入库企业加大扶持、强化指导，在融资、培训、项目申报等方面提供更多帮助。</w:t>
      </w:r>
      <w:r>
        <w:rPr>
          <w:rFonts w:hint="eastAsia" w:ascii="Times New Roman" w:hAnsi="Times New Roman" w:eastAsia="楷体_GB2312" w:cs="楷体_GB2312"/>
          <w:b w:val="0"/>
          <w:bCs w:val="0"/>
          <w:sz w:val="32"/>
          <w:szCs w:val="32"/>
        </w:rPr>
        <w:t>（责任单位：市工信局、各旗县市区）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强化创新平台载体提质增效。围绕我市特色产业打造一批创新资源配置优、联合创新能力强、开放服务水平高的科技创新平台，积极推进自治区级工程研究中心（工程实验室）、自治区级企业技术中心等创新平台建设，年内培育认定各类科技创新平台15个以上。</w:t>
      </w:r>
      <w:r>
        <w:rPr>
          <w:rFonts w:hint="eastAsia" w:ascii="Times New Roman" w:hAnsi="Times New Roman" w:eastAsia="楷体_GB2312" w:cs="楷体_GB2312"/>
          <w:b w:val="0"/>
          <w:bCs w:val="0"/>
          <w:sz w:val="32"/>
          <w:szCs w:val="32"/>
        </w:rPr>
        <w:t>（责任单位：市科技局、发</w:t>
      </w:r>
      <w:r>
        <w:rPr>
          <w:rFonts w:hint="eastAsia" w:ascii="Times New Roman" w:hAnsi="Times New Roman" w:eastAsia="楷体_GB2312" w:cs="楷体_GB2312"/>
          <w:b w:val="0"/>
          <w:bCs w:val="0"/>
          <w:sz w:val="32"/>
          <w:szCs w:val="32"/>
          <w:lang w:eastAsia="zh-CN"/>
        </w:rPr>
        <w:t>展</w:t>
      </w:r>
      <w:r>
        <w:rPr>
          <w:rFonts w:hint="eastAsia" w:ascii="Times New Roman" w:hAnsi="Times New Roman" w:eastAsia="楷体_GB2312" w:cs="楷体_GB2312"/>
          <w:b w:val="0"/>
          <w:bCs w:val="0"/>
          <w:sz w:val="32"/>
          <w:szCs w:val="32"/>
        </w:rPr>
        <w:t>改</w:t>
      </w:r>
      <w:r>
        <w:rPr>
          <w:rFonts w:hint="eastAsia" w:ascii="Times New Roman" w:hAnsi="Times New Roman" w:eastAsia="楷体_GB2312" w:cs="楷体_GB2312"/>
          <w:b w:val="0"/>
          <w:bCs w:val="0"/>
          <w:sz w:val="32"/>
          <w:szCs w:val="32"/>
          <w:lang w:eastAsia="zh-CN"/>
        </w:rPr>
        <w:t>革</w:t>
      </w:r>
      <w:r>
        <w:rPr>
          <w:rFonts w:hint="eastAsia" w:ascii="Times New Roman" w:hAnsi="Times New Roman" w:eastAsia="楷体_GB2312" w:cs="楷体_GB2312"/>
          <w:b w:val="0"/>
          <w:bCs w:val="0"/>
          <w:sz w:val="32"/>
          <w:szCs w:val="32"/>
        </w:rPr>
        <w:t>委、工信局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（二）增强科技服务和协作能力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开展产学研合作，助推产业高质量发展。引导企业和高校科研院所通过共建实验室、合作开展项目等方式建设高质量创新联合体，加强企业主导的产学研深度融合，激发科技工作者的创新潜能，吸引和培养科技领军人才和创新团队，促进人才的合理布局和利用。</w:t>
      </w:r>
      <w:r>
        <w:rPr>
          <w:rFonts w:hint="eastAsia" w:ascii="Times New Roman" w:hAnsi="Times New Roman" w:eastAsia="楷体_GB2312" w:cs="楷体_GB2312"/>
          <w:b w:val="0"/>
          <w:bCs w:val="0"/>
          <w:sz w:val="32"/>
          <w:szCs w:val="32"/>
        </w:rPr>
        <w:t>（责任单位：市科技局、各旗县市区）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加强中小企业公共服务能力建设。开展“一起益企”中小企业服务行动，强化小微企业创业创新示范基地的带动作用，加大培育中小企业公共服务示范平台，促进中小微企业创业创新服务能力整体提升。</w:t>
      </w:r>
      <w:r>
        <w:rPr>
          <w:rFonts w:hint="eastAsia" w:ascii="Times New Roman" w:hAnsi="Times New Roman" w:eastAsia="楷体_GB2312" w:cs="楷体_GB2312"/>
          <w:b w:val="0"/>
          <w:bCs w:val="0"/>
          <w:sz w:val="32"/>
          <w:szCs w:val="32"/>
        </w:rPr>
        <w:t>（责任单位：市工信局、各旗县市区）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加强新型基层科技服务载体建设。引导人才、技术、服务等优势科技资源向基层延伸，建设“肉牛驿站”等新型基层农牧业科技服务载体。在有条件、基础好的苏木镇场建设市场化运营的技术服务平台，制定完善的考核机制，促进服务平台发挥最大效能。</w:t>
      </w:r>
      <w:r>
        <w:rPr>
          <w:rFonts w:hint="eastAsia" w:ascii="Times New Roman" w:hAnsi="Times New Roman" w:eastAsia="楷体_GB2312" w:cs="楷体_GB2312"/>
          <w:b w:val="0"/>
          <w:bCs w:val="0"/>
          <w:sz w:val="32"/>
          <w:szCs w:val="32"/>
        </w:rPr>
        <w:t>（责任单位：市科技局、农牧局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（三）加大研发投入力度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深入实施研发投入攻坚行动。坚持“保存量、挖增量、提质量”，对全市重点规上企业督查指导，加强研发费用加计扣除等优惠政策宣传力度，深入挖掘研发投入潜力，力争全市全社会研发投入增长50%以上。</w:t>
      </w:r>
      <w:r>
        <w:rPr>
          <w:rFonts w:hint="eastAsia" w:ascii="Times New Roman" w:hAnsi="Times New Roman" w:eastAsia="楷体_GB2312" w:cs="楷体_GB2312"/>
          <w:b w:val="0"/>
          <w:bCs w:val="0"/>
          <w:sz w:val="32"/>
          <w:szCs w:val="32"/>
        </w:rPr>
        <w:t>（责任单位：市科技局、各旗县市区）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加大市属国有企业科技创新投入。将工业企业科技创新研发投入列入年度考核指标，充分发挥考核指挥棒作用。争取年内市属工业企业年度研发投入不低于营业收入的1.5%。</w:t>
      </w:r>
      <w:r>
        <w:rPr>
          <w:rFonts w:hint="eastAsia" w:ascii="Times New Roman" w:hAnsi="Times New Roman" w:eastAsia="楷体_GB2312" w:cs="楷体_GB2312"/>
          <w:b w:val="0"/>
          <w:bCs w:val="0"/>
          <w:sz w:val="32"/>
          <w:szCs w:val="32"/>
        </w:rPr>
        <w:t>（责任单位：市国资委、各旗县市区）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强化科技金融服务体系建设。通过广泛征集金融需求、开展政银企对接会、举办政策解读培训班等方式，积极帮助企业对接金融资源，了解国家政策，破解企业融资难题。</w:t>
      </w:r>
      <w:r>
        <w:rPr>
          <w:rFonts w:hint="eastAsia" w:ascii="Times New Roman" w:hAnsi="Times New Roman" w:eastAsia="楷体_GB2312" w:cs="楷体_GB2312"/>
          <w:b w:val="0"/>
          <w:bCs w:val="0"/>
          <w:sz w:val="32"/>
          <w:szCs w:val="32"/>
        </w:rPr>
        <w:t>（责任单位：市金融办、科技局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加强信息化手段运用。开发运用企业研发投入统计及大数据分析系统，重点对有研发投入的规模以上企业、高新技术企业、建立自治区级研发平台和承担各级财政科技计划项目的单位进行时时统计和一对一服务，指导企业规范核算研发投入，保障研发数据有效归集统计。</w:t>
      </w:r>
      <w:r>
        <w:rPr>
          <w:rFonts w:hint="eastAsia" w:ascii="Times New Roman" w:hAnsi="Times New Roman" w:eastAsia="楷体_GB2312" w:cs="楷体_GB2312"/>
          <w:b w:val="0"/>
          <w:bCs w:val="0"/>
          <w:sz w:val="32"/>
          <w:szCs w:val="32"/>
        </w:rPr>
        <w:t>（责任单位：市科技局、财政局、税务局、统计局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（四）提升种业创新能力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持续实施种业振兴工程，助力国家粮食安全战略。重点围绕市农牧科学研究所现有种质资源进行创新与改良，充分挖掘遗传优势潜能，攻关种业关键核心技术，自主培育突破性作物新品种，并积极探索成果转化渠道和方式，实现优良品种和先进适用技术成果转化落地。力争2个玉米品种完成内蒙试验，1个玉米品种进入国家试验阶段；完成1</w:t>
      </w:r>
      <w:r>
        <w:rPr>
          <w:rFonts w:hint="default" w:ascii="Times New Roman" w:hAnsi="Times New Roman" w:eastAsia="仿宋_GB2312" w:cs="Times New Roman"/>
          <w:b w:val="0"/>
          <w:bCs w:val="0"/>
          <w:sz w:val="32"/>
          <w:szCs w:val="32"/>
        </w:rPr>
        <w:t>~</w:t>
      </w:r>
      <w:r>
        <w:rPr>
          <w:rFonts w:hint="eastAsia" w:ascii="Times New Roman" w:hAnsi="Times New Roman" w:eastAsia="仿宋_GB2312" w:cs="仿宋_GB2312"/>
          <w:b w:val="0"/>
          <w:bCs w:val="0"/>
          <w:sz w:val="32"/>
          <w:szCs w:val="32"/>
        </w:rPr>
        <w:t>2个高粱品种、1</w:t>
      </w:r>
      <w:r>
        <w:rPr>
          <w:rFonts w:hint="default" w:ascii="Times New Roman" w:hAnsi="Times New Roman" w:eastAsia="仿宋_GB2312" w:cs="Times New Roman"/>
          <w:b w:val="0"/>
          <w:bCs w:val="0"/>
          <w:sz w:val="32"/>
          <w:szCs w:val="32"/>
        </w:rPr>
        <w:t>~</w:t>
      </w:r>
      <w:r>
        <w:rPr>
          <w:rFonts w:hint="eastAsia" w:ascii="Times New Roman" w:hAnsi="Times New Roman" w:eastAsia="仿宋_GB2312" w:cs="仿宋_GB2312"/>
          <w:b w:val="0"/>
          <w:bCs w:val="0"/>
          <w:sz w:val="32"/>
          <w:szCs w:val="32"/>
        </w:rPr>
        <w:t>2个谷子品种、1个黍子品种登记。</w:t>
      </w:r>
      <w:r>
        <w:rPr>
          <w:rFonts w:hint="eastAsia" w:ascii="Times New Roman" w:hAnsi="Times New Roman" w:eastAsia="楷体_GB2312" w:cs="楷体_GB2312"/>
          <w:b w:val="0"/>
          <w:bCs w:val="0"/>
          <w:sz w:val="32"/>
          <w:szCs w:val="32"/>
        </w:rPr>
        <w:t>（责任单位：市农牧科学研究所）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color w:val="auto"/>
          <w:sz w:val="32"/>
          <w:szCs w:val="32"/>
        </w:rPr>
        <w:t>建设高水平种业创新平台。与白城农科院任长忠院士合作共建荞麦院士工作站和荞麦试验基地。与四川国家小麦改良中心建设通辽博士流动工作站，提升特色产业高效栽培技术研发水平，推进规模化种植，促增效。与上海农业生物基因中心合作建立节水抗旱稻北方研究中心。</w:t>
      </w:r>
      <w:r>
        <w:rPr>
          <w:rFonts w:hint="eastAsia" w:ascii="Times New Roman" w:hAnsi="Times New Roman" w:eastAsia="楷体_GB2312" w:cs="楷体_GB2312"/>
          <w:b w:val="0"/>
          <w:bCs w:val="0"/>
          <w:sz w:val="32"/>
          <w:szCs w:val="32"/>
        </w:rPr>
        <w:t>（责任单位：市农牧局、科技局、农牧科学研究所）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积极培育、研发、申报林木新品种。按照申报林木新品种要求积极培育、研发林木新品种，组织填报林木新品种权请求书、说明书和品种照片等前期材料，积极与审批部门沟通，完成好申报工作。争取年内申报1</w:t>
      </w:r>
      <w:r>
        <w:rPr>
          <w:rFonts w:hint="default" w:ascii="Times New Roman" w:hAnsi="Times New Roman" w:eastAsia="仿宋_GB2312" w:cs="Times New Roman"/>
          <w:b w:val="0"/>
          <w:bCs w:val="0"/>
          <w:sz w:val="32"/>
          <w:szCs w:val="32"/>
        </w:rPr>
        <w:t>~</w:t>
      </w:r>
      <w:r>
        <w:rPr>
          <w:rFonts w:hint="eastAsia" w:ascii="Times New Roman" w:hAnsi="Times New Roman" w:eastAsia="仿宋_GB2312" w:cs="仿宋_GB2312"/>
          <w:b w:val="0"/>
          <w:bCs w:val="0"/>
          <w:sz w:val="32"/>
          <w:szCs w:val="32"/>
        </w:rPr>
        <w:t>3个林木新品种。</w:t>
      </w:r>
      <w:r>
        <w:rPr>
          <w:rFonts w:hint="eastAsia" w:ascii="Times New Roman" w:hAnsi="Times New Roman" w:eastAsia="楷体_GB2312" w:cs="楷体_GB2312"/>
          <w:b w:val="0"/>
          <w:bCs w:val="0"/>
          <w:sz w:val="32"/>
          <w:szCs w:val="32"/>
        </w:rPr>
        <w:t>（责任单位：市林草局）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（五）强化科技成果转化与技术推介工作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推动粮食新品种示范推介。开展玉米、水稻、大豆、杂粮、苜蓿等品种展示示范、鉴选评价及新品种推介。在科区、开鲁、左中、后旗、奈曼、库伦、扎旗、开发区8个旗县</w:t>
      </w:r>
      <w:r>
        <w:rPr>
          <w:rFonts w:hint="eastAsia" w:ascii="Times New Roman" w:hAnsi="Times New Roman" w:eastAsia="仿宋_GB2312" w:cs="仿宋_GB2312"/>
          <w:b w:val="0"/>
          <w:bCs w:val="0"/>
          <w:sz w:val="32"/>
          <w:szCs w:val="32"/>
          <w:lang w:eastAsia="zh-CN"/>
        </w:rPr>
        <w:t>区</w:t>
      </w:r>
      <w:r>
        <w:rPr>
          <w:rFonts w:hint="eastAsia" w:ascii="Times New Roman" w:hAnsi="Times New Roman" w:eastAsia="仿宋_GB2312" w:cs="仿宋_GB2312"/>
          <w:b w:val="0"/>
          <w:bCs w:val="0"/>
          <w:sz w:val="32"/>
          <w:szCs w:val="32"/>
        </w:rPr>
        <w:t>建设“看禾选种”平台10个，其中玉米6个、大豆1个、水稻1个、杂粮杂豆1个、苜蓿1个。</w:t>
      </w:r>
      <w:r>
        <w:rPr>
          <w:rFonts w:hint="eastAsia" w:ascii="Times New Roman" w:hAnsi="Times New Roman" w:eastAsia="楷体_GB2312" w:cs="楷体_GB2312"/>
          <w:b w:val="0"/>
          <w:bCs w:val="0"/>
          <w:sz w:val="32"/>
          <w:szCs w:val="32"/>
        </w:rPr>
        <w:t>（责任单位：市农牧局、各旗县市区）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建设科研试验示范基地。与旗县联合建立肉牛肉羊、疫病防控、牧草种植等技术服务中心或基地4个，为加快科技成果转化，实现前沿技术示范，重点技术推广起到引领作用。完成蓝靛果忍冬新品种“蓓蕾”推广示范基地和平欧杂种榛林下间作模式造林技术推广基地建设年度任务。</w:t>
      </w:r>
      <w:r>
        <w:rPr>
          <w:rFonts w:hint="eastAsia" w:ascii="Times New Roman" w:hAnsi="Times New Roman" w:eastAsia="楷体_GB2312" w:cs="楷体_GB2312"/>
          <w:b w:val="0"/>
          <w:bCs w:val="0"/>
          <w:sz w:val="32"/>
          <w:szCs w:val="32"/>
        </w:rPr>
        <w:t>（责任单位：市农牧科学研究所、市林草局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推进技术合同交易登记。积极调动旗县市区科技管理部门能动性，将技术合同交易额纳入旗县市区党政领导班子考核体系，全市年技术合同交易额达到 1.5 亿元。抓好自治区和通辽市技术交易奖补项目的推荐和政策兑付，使市场主体切实享受到政策红利，营造良好营商环境。（责任部门：市科技局、各旗县市区）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（六）因地制宜开展特色研发活动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Times New Roman" w:hAnsi="Times New Roman" w:eastAsia="仿宋_GB2312" w:cs="仿宋_GB2312"/>
          <w:b w:val="0"/>
          <w:bCs w:val="0"/>
          <w:sz w:val="32"/>
          <w:szCs w:val="32"/>
        </w:rPr>
        <w:t>开展西辽河玉米节水增粮关键技术研究。研究密植抗旱品种玉米高产形成规律和需水、需肥特征以及节水增产途径，构建玉米节水增粮生产技术模式，大面积高产示范区产量水平每亩提升200kg以上；加快现代玉米生产技术和理念普及，打造核心试验示范基地9个，年培训各类人员10万余人次以上。</w:t>
      </w:r>
      <w:r>
        <w:rPr>
          <w:rFonts w:hint="eastAsia" w:ascii="楷体_GB2312" w:hAnsi="楷体_GB2312" w:eastAsia="楷体_GB2312" w:cs="楷体_GB2312"/>
          <w:b w:val="0"/>
          <w:bCs w:val="0"/>
          <w:sz w:val="32"/>
          <w:szCs w:val="32"/>
        </w:rPr>
        <w:t>（责任单位：市农牧局、各旗县市区）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开展西辽河平原灌溉用水效率空间尺度效应研究。通过开展西辽河平原空间各尺度灌溉用水效率水平衡分析，计算西辽河平原各尺度的灌溉用水效率，分析西辽河平原灌溉用水效率各尺度转换规律，为地下水合理开采和水资源可持续利用提供依据。</w:t>
      </w:r>
      <w:r>
        <w:rPr>
          <w:rFonts w:hint="eastAsia" w:ascii="Times New Roman" w:hAnsi="Times New Roman" w:eastAsia="楷体_GB2312" w:cs="楷体_GB2312"/>
          <w:b w:val="0"/>
          <w:bCs w:val="0"/>
          <w:sz w:val="32"/>
          <w:szCs w:val="32"/>
        </w:rPr>
        <w:t>（责任单位：市水务局）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开展通辽地区小规模肉牛标准化生产技术研究与示范。针对我市肉牛养殖小规模、大群体实际，深入农村牧区走访调研，总结梳理肉牛养殖品种改良、系谱档案建立、差异化育肥模式、精细化养殖、牛舍建设及疫病防控等环节经验做法，尽快形成明白卡、宣传册、小视频等通俗易懂的肉牛养殖操作规程和技术标准，加强线上、线下宣传培训，不断提高小规模肉牛养殖科学化水平，助力我市“全国肉牛产业第一重镇”建设。</w:t>
      </w:r>
      <w:r>
        <w:rPr>
          <w:rFonts w:hint="eastAsia" w:ascii="Times New Roman" w:hAnsi="Times New Roman" w:eastAsia="楷体_GB2312" w:cs="楷体_GB2312"/>
          <w:b w:val="0"/>
          <w:bCs w:val="0"/>
          <w:sz w:val="32"/>
          <w:szCs w:val="32"/>
        </w:rPr>
        <w:t>（责任单位：市科技局、农牧局、农牧科学研究所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开展通辽市中</w:t>
      </w:r>
      <w:r>
        <w:rPr>
          <w:rFonts w:hint="eastAsia" w:ascii="Times New Roman" w:hAnsi="Times New Roman" w:eastAsia="仿宋_GB2312" w:cs="仿宋_GB2312"/>
          <w:b w:val="0"/>
          <w:bCs w:val="0"/>
          <w:sz w:val="32"/>
          <w:szCs w:val="32"/>
          <w:lang w:eastAsia="zh-CN"/>
        </w:rPr>
        <w:t>药材</w:t>
      </w:r>
      <w:r>
        <w:rPr>
          <w:rFonts w:hint="eastAsia" w:ascii="Times New Roman" w:hAnsi="Times New Roman" w:eastAsia="仿宋_GB2312" w:cs="仿宋_GB2312"/>
          <w:b w:val="0"/>
          <w:bCs w:val="0"/>
          <w:sz w:val="32"/>
          <w:szCs w:val="32"/>
        </w:rPr>
        <w:t>（蒙药材）优势品种标准化种植与示范。根据通辽市实际情况，对黄芪、甘草、防风、桔梗4个中药材（蒙药材）品种进行种植示范研究，提升我市相关药材种植技术水平。按科技计划项目任务书的有关要求，推进项目承担单位和联合申报单位按计划完成相关研究。</w:t>
      </w:r>
      <w:r>
        <w:rPr>
          <w:rFonts w:hint="eastAsia" w:ascii="Times New Roman" w:hAnsi="Times New Roman" w:eastAsia="楷体_GB2312" w:cs="楷体_GB2312"/>
          <w:b w:val="0"/>
          <w:bCs w:val="0"/>
          <w:sz w:val="32"/>
          <w:szCs w:val="32"/>
        </w:rPr>
        <w:t>（责任单位：市中药产业发展办公室、中药产业研究中心）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开展通辽地区6种优势药材种植适宜性及区划研究。以通辽地区黄芪、黄芩、防风、苍术、苦参、甘草6种优势药材野生和栽培品有效成分含量和相关生态因子为基础，考察6种药材土壤因子等与药效成分间的相关性，进行药材品质区划研究，为在今后逐步扩大药材种植规模和提高我市种植药材的品质提供科学依据。</w:t>
      </w:r>
      <w:r>
        <w:rPr>
          <w:rFonts w:hint="eastAsia" w:ascii="Times New Roman" w:hAnsi="Times New Roman" w:eastAsia="楷体_GB2312" w:cs="楷体_GB2312"/>
          <w:b w:val="0"/>
          <w:bCs w:val="0"/>
          <w:sz w:val="32"/>
          <w:szCs w:val="32"/>
        </w:rPr>
        <w:t>（责任单位：市中药产业发展办公室、科技局、市场检验检测中心）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（七）发挥科技人才创新带动能力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加强科技领军人才、青年科技人才培养。支持企业组建和柔性引进一批科技创新团队，加大支持力度，确保科技人员引的进、用的好，最大限度发挥科技人员的作用。探索“人才飞地”“研发飞地”模式，与青岛农业大学、安徽旭阳新材料有限公司等联合，建成2家“人才飞地”“研发飞地”。</w:t>
      </w:r>
      <w:r>
        <w:rPr>
          <w:rFonts w:hint="eastAsia" w:ascii="Times New Roman" w:hAnsi="Times New Roman" w:eastAsia="楷体_GB2312" w:cs="楷体_GB2312"/>
          <w:b w:val="0"/>
          <w:bCs w:val="0"/>
          <w:sz w:val="32"/>
          <w:szCs w:val="32"/>
        </w:rPr>
        <w:t>（责任部门：市科技局、人社局</w:t>
      </w:r>
      <w:r>
        <w:rPr>
          <w:rFonts w:hint="eastAsia" w:ascii="Times New Roman" w:hAnsi="Times New Roman" w:eastAsia="楷体_GB2312" w:cs="楷体_GB2312"/>
          <w:b w:val="0"/>
          <w:bCs w:val="0"/>
          <w:sz w:val="32"/>
          <w:szCs w:val="32"/>
          <w:lang w:eastAsia="zh-CN"/>
        </w:rPr>
        <w:t>，</w:t>
      </w:r>
      <w:r>
        <w:rPr>
          <w:rFonts w:hint="eastAsia" w:ascii="Times New Roman" w:hAnsi="Times New Roman" w:eastAsia="楷体_GB2312" w:cs="楷体_GB2312"/>
          <w:b w:val="0"/>
          <w:bCs w:val="0"/>
          <w:sz w:val="32"/>
          <w:szCs w:val="32"/>
        </w:rPr>
        <w:t>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仿宋_GB2312" w:cs="仿宋_GB2312"/>
          <w:b w:val="0"/>
          <w:bCs w:val="0"/>
          <w:sz w:val="32"/>
          <w:szCs w:val="32"/>
        </w:rPr>
        <w:t>强化科技人才引进培育。强化科技人才引进培育。根据新修订的《通辽市人才引进实施办法》，围绕五大产业集群和农牧林水、教育卫生等重点行业领域，组织2次人才引进活动，为企事业单位引进高层次、急需紧缺科技人才。引导各旗县市区加大科技人才引进工作力度。</w:t>
      </w:r>
      <w:r>
        <w:rPr>
          <w:rFonts w:hint="eastAsia" w:ascii="Times New Roman" w:hAnsi="Times New Roman" w:eastAsia="楷体_GB2312" w:cs="楷体_GB2312"/>
          <w:b w:val="0"/>
          <w:bCs w:val="0"/>
          <w:sz w:val="32"/>
          <w:szCs w:val="32"/>
        </w:rPr>
        <w:t>（责任单位：市人社局、各旗县市区）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四、组织保障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（一）加强组织领导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充分发挥市科技创新领导小组作用，定期围绕我市创新工作的思路、目标、政策、机制、措施等重大问题进行研究探讨，就重点任务完成情况进行调度。相关职能部门要细化工作举措，并加紧贯彻落实。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（二）强化金融支持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不断优化科技企业融资环境，引导金融机构不断加大对科技企业支持力度，支持金融资源向科技企业科技攻关、成果转化、创新平台载体建设等领域集聚。适时开展企业融资需求征集活动，积极举办政银企对接会，帮助科技企业突破科技企业融资难瓶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（三）加强统筹协调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对涉及多个地区或部门单位的问题，上下协同、整体推动解决。统筹当前和长远，发现总结提升创新能力的有效做法和成功经验，完善创新驱动发展的长效机制，让创新成为我市高质量发展的动力源泉。</w:t>
      </w:r>
    </w:p>
    <w:p>
      <w:bookmarkStart w:id="0" w:name="_GoBack"/>
      <w:bookmarkEnd w:id="0"/>
    </w:p>
    <w:sectPr>
      <w:pgSz w:w="11906" w:h="16838"/>
      <w:pgMar w:top="2098" w:right="1474" w:bottom="1984" w:left="1588" w:header="1701" w:footer="181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NGMyMDJlZTllYTI0YjBlMjU5NzhlYTc0ZTgyNDQifQ=="/>
  </w:docVars>
  <w:rsids>
    <w:rsidRoot w:val="00000000"/>
    <w:rsid w:val="003D7239"/>
    <w:rsid w:val="02086B70"/>
    <w:rsid w:val="02215455"/>
    <w:rsid w:val="027D4E38"/>
    <w:rsid w:val="02986030"/>
    <w:rsid w:val="02C17B61"/>
    <w:rsid w:val="04587CBB"/>
    <w:rsid w:val="04A73112"/>
    <w:rsid w:val="05557DA5"/>
    <w:rsid w:val="05863C08"/>
    <w:rsid w:val="08F03B8D"/>
    <w:rsid w:val="0B2A6E42"/>
    <w:rsid w:val="0B626A18"/>
    <w:rsid w:val="0D1C79D8"/>
    <w:rsid w:val="0D447862"/>
    <w:rsid w:val="0D777F32"/>
    <w:rsid w:val="0DB84D95"/>
    <w:rsid w:val="0EB709AD"/>
    <w:rsid w:val="0F9C4588"/>
    <w:rsid w:val="11CE7CDF"/>
    <w:rsid w:val="11D87C1E"/>
    <w:rsid w:val="120871B3"/>
    <w:rsid w:val="120F0CA4"/>
    <w:rsid w:val="1328622A"/>
    <w:rsid w:val="138E112D"/>
    <w:rsid w:val="13AC4296"/>
    <w:rsid w:val="14B7602D"/>
    <w:rsid w:val="14B87FA7"/>
    <w:rsid w:val="14FC4BFF"/>
    <w:rsid w:val="15105C30"/>
    <w:rsid w:val="15B26E08"/>
    <w:rsid w:val="17671088"/>
    <w:rsid w:val="19046F2E"/>
    <w:rsid w:val="19533E76"/>
    <w:rsid w:val="19AD35F7"/>
    <w:rsid w:val="1A851516"/>
    <w:rsid w:val="1DC94885"/>
    <w:rsid w:val="1FC824BA"/>
    <w:rsid w:val="1FF042F7"/>
    <w:rsid w:val="203532C2"/>
    <w:rsid w:val="20B454FA"/>
    <w:rsid w:val="21A8240A"/>
    <w:rsid w:val="221B59A9"/>
    <w:rsid w:val="24966AD2"/>
    <w:rsid w:val="25D95603"/>
    <w:rsid w:val="268854D9"/>
    <w:rsid w:val="29454F9F"/>
    <w:rsid w:val="2AC85882"/>
    <w:rsid w:val="2CAE34BD"/>
    <w:rsid w:val="2F296224"/>
    <w:rsid w:val="2F3D45E6"/>
    <w:rsid w:val="2F676456"/>
    <w:rsid w:val="325A76F3"/>
    <w:rsid w:val="34482352"/>
    <w:rsid w:val="366867C1"/>
    <w:rsid w:val="37291556"/>
    <w:rsid w:val="38171D6E"/>
    <w:rsid w:val="3A38499A"/>
    <w:rsid w:val="3AF357FD"/>
    <w:rsid w:val="3B457249"/>
    <w:rsid w:val="3D43013C"/>
    <w:rsid w:val="3EBF7F20"/>
    <w:rsid w:val="3FC9440A"/>
    <w:rsid w:val="40017CDC"/>
    <w:rsid w:val="406A04CA"/>
    <w:rsid w:val="40966B9C"/>
    <w:rsid w:val="40B73703"/>
    <w:rsid w:val="422A6D98"/>
    <w:rsid w:val="426529E2"/>
    <w:rsid w:val="436B4CA9"/>
    <w:rsid w:val="43DB049B"/>
    <w:rsid w:val="45357E56"/>
    <w:rsid w:val="466B1269"/>
    <w:rsid w:val="46920C1D"/>
    <w:rsid w:val="47A904F5"/>
    <w:rsid w:val="4894589F"/>
    <w:rsid w:val="4AA231D7"/>
    <w:rsid w:val="4BBD2ABF"/>
    <w:rsid w:val="4CC02975"/>
    <w:rsid w:val="4CDB1363"/>
    <w:rsid w:val="4D30462B"/>
    <w:rsid w:val="4EF12A77"/>
    <w:rsid w:val="4F335B24"/>
    <w:rsid w:val="4F656026"/>
    <w:rsid w:val="506A5022"/>
    <w:rsid w:val="50DB25AA"/>
    <w:rsid w:val="513B7169"/>
    <w:rsid w:val="562B224F"/>
    <w:rsid w:val="56930870"/>
    <w:rsid w:val="56AF5610"/>
    <w:rsid w:val="59CB4DB7"/>
    <w:rsid w:val="5BC54DEF"/>
    <w:rsid w:val="5EED4091"/>
    <w:rsid w:val="5F590F03"/>
    <w:rsid w:val="5FC43B5A"/>
    <w:rsid w:val="618B2732"/>
    <w:rsid w:val="63357C37"/>
    <w:rsid w:val="66032E45"/>
    <w:rsid w:val="663921C6"/>
    <w:rsid w:val="66BF1546"/>
    <w:rsid w:val="67D81C47"/>
    <w:rsid w:val="691046D2"/>
    <w:rsid w:val="694F5666"/>
    <w:rsid w:val="698328DD"/>
    <w:rsid w:val="69D10141"/>
    <w:rsid w:val="69F80C35"/>
    <w:rsid w:val="69FC674B"/>
    <w:rsid w:val="6A2E6727"/>
    <w:rsid w:val="6C4D2C17"/>
    <w:rsid w:val="6D7B3FE5"/>
    <w:rsid w:val="6F7831A2"/>
    <w:rsid w:val="70D04E43"/>
    <w:rsid w:val="70F15FE2"/>
    <w:rsid w:val="72315241"/>
    <w:rsid w:val="72B7767A"/>
    <w:rsid w:val="74353CDE"/>
    <w:rsid w:val="75910916"/>
    <w:rsid w:val="75DB483D"/>
    <w:rsid w:val="76515BAD"/>
    <w:rsid w:val="766A2E27"/>
    <w:rsid w:val="77953861"/>
    <w:rsid w:val="78E723B8"/>
    <w:rsid w:val="7AA8327F"/>
    <w:rsid w:val="7D50762D"/>
    <w:rsid w:val="7ECB5507"/>
    <w:rsid w:val="7F3439D7"/>
    <w:rsid w:val="7F9208E4"/>
    <w:rsid w:val="7FAF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2022-07-21T01:50:00Z</dcterms:created>
  <dc:creator>TLJXW999</dc:creator>
  <cp:lastModifiedBy>演示人</cp:lastModifiedBy>
  <dcterms:modified xsi:type="dcterms:W3CDTF">2023-06-21T09:06:04Z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568FE4BECFF843DB859842F8F9A9C08D</vt:lpwstr>
  </property>
</Properties>
</file>