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color w:val="000000" w:themeColor="text1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仿宋" w:hAnsi="仿宋" w:eastAsia="仿宋" w:cs="仿宋"/>
          <w:color w:val="000000" w:themeColor="text1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仿宋" w:hAnsi="仿宋" w:eastAsia="仿宋" w:cs="仿宋"/>
          <w:color w:val="000000" w:themeColor="text1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仿宋" w:hAnsi="仿宋" w:eastAsia="仿宋" w:cs="仿宋"/>
          <w:color w:val="000000" w:themeColor="text1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仿宋" w:hAnsi="仿宋" w:eastAsia="仿宋" w:cs="仿宋"/>
          <w:color w:val="000000" w:themeColor="text1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</w:pPr>
    </w:p>
    <w:p>
      <w:pPr>
        <w:spacing w:line="560" w:lineRule="exact"/>
        <w:jc w:val="center"/>
        <w:rPr>
          <w:rFonts w:hint="eastAsia"/>
          <w:b/>
          <w:sz w:val="40"/>
          <w:szCs w:val="32"/>
        </w:rPr>
      </w:pPr>
      <w:r>
        <w:rPr>
          <w:rFonts w:hint="eastAsia"/>
          <w:b/>
          <w:sz w:val="40"/>
          <w:szCs w:val="32"/>
        </w:rPr>
        <w:t>《通辽市金融稳固支持实体经济高质量</w:t>
      </w:r>
    </w:p>
    <w:p>
      <w:pPr>
        <w:spacing w:line="560" w:lineRule="exact"/>
        <w:jc w:val="center"/>
        <w:rPr>
          <w:rFonts w:hint="eastAsia"/>
          <w:b/>
          <w:sz w:val="40"/>
          <w:szCs w:val="32"/>
        </w:rPr>
      </w:pPr>
      <w:r>
        <w:rPr>
          <w:rFonts w:hint="eastAsia"/>
          <w:b/>
          <w:sz w:val="40"/>
          <w:szCs w:val="32"/>
        </w:rPr>
        <w:t>发展实施意见》政策解读</w:t>
      </w:r>
    </w:p>
    <w:p>
      <w:pPr>
        <w:spacing w:line="560" w:lineRule="exact"/>
        <w:rPr>
          <w:rFonts w:ascii="仿宋" w:hAnsi="仿宋" w:eastAsia="仿宋" w:cs="仿宋"/>
          <w:sz w:val="32"/>
          <w:szCs w:val="32"/>
        </w:rPr>
      </w:pPr>
    </w:p>
    <w:p>
      <w:pPr>
        <w:spacing w:line="560" w:lineRule="exact"/>
        <w:rPr>
          <w:rFonts w:ascii="黑体" w:hAnsi="黑体" w:eastAsia="黑体" w:cs="仿宋"/>
          <w:sz w:val="32"/>
          <w:szCs w:val="32"/>
        </w:rPr>
      </w:pPr>
      <w:r>
        <w:rPr>
          <w:rFonts w:hint="eastAsia" w:ascii="黑体" w:hAnsi="黑体" w:eastAsia="黑体" w:cs="仿宋"/>
          <w:sz w:val="32"/>
          <w:szCs w:val="32"/>
        </w:rPr>
        <w:t xml:space="preserve">    一、出台背景</w:t>
      </w:r>
    </w:p>
    <w:p>
      <w:pPr>
        <w:spacing w:line="560" w:lineRule="exact"/>
        <w:ind w:firstLine="63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近年来，我市金融业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稳步</w:t>
      </w:r>
      <w:r>
        <w:rPr>
          <w:rFonts w:hint="eastAsia" w:ascii="仿宋" w:hAnsi="仿宋" w:eastAsia="仿宋" w:cs="仿宋"/>
          <w:sz w:val="32"/>
          <w:szCs w:val="32"/>
        </w:rPr>
        <w:t>发展，为实体经济发展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提供</w:t>
      </w:r>
      <w:r>
        <w:rPr>
          <w:rFonts w:hint="eastAsia" w:ascii="仿宋" w:hAnsi="仿宋" w:eastAsia="仿宋" w:cs="仿宋"/>
          <w:sz w:val="32"/>
          <w:szCs w:val="32"/>
        </w:rPr>
        <w:t>了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有力支持</w:t>
      </w:r>
      <w:r>
        <w:rPr>
          <w:rFonts w:hint="eastAsia" w:ascii="仿宋" w:hAnsi="仿宋" w:eastAsia="仿宋" w:cs="仿宋"/>
          <w:sz w:val="32"/>
          <w:szCs w:val="32"/>
        </w:rPr>
        <w:t>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截至2022年4月末，全市存款余额1708.6亿元，同比增长14.7%，增速比自治区高4.3个百分点。贷款余额1287.7亿元，同比增长10.5%，增速与自治区基本持平。</w:t>
      </w:r>
    </w:p>
    <w:p>
      <w:pPr>
        <w:spacing w:line="560" w:lineRule="exact"/>
        <w:ind w:firstLine="63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但同时，全市存贷比75.36%，金融供需矛盾仍比较突出。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与经济发展需求相比</w:t>
      </w:r>
      <w:r>
        <w:rPr>
          <w:rFonts w:hint="eastAsia" w:ascii="仿宋" w:hAnsi="仿宋" w:eastAsia="仿宋" w:cs="仿宋"/>
          <w:sz w:val="32"/>
          <w:szCs w:val="32"/>
        </w:rPr>
        <w:t>，我市金融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业发展还很不平衡，金融业态不够健全，金融支持实体经济的能力亟待提升。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40" w:lineRule="exact"/>
        <w:ind w:left="0" w:leftChars="0" w:right="0" w:rightChars="0" w:firstLine="640" w:firstLineChars="200"/>
        <w:jc w:val="both"/>
        <w:textAlignment w:val="auto"/>
        <w:outlineLvl w:val="9"/>
        <w:rPr>
          <w:rFonts w:ascii="仿宋" w:hAnsi="仿宋" w:eastAsia="仿宋" w:cs="仿宋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202</w:t>
      </w:r>
      <w:r>
        <w:rPr>
          <w:rFonts w:hint="eastAsia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年</w:t>
      </w:r>
      <w:r>
        <w:rPr>
          <w:rFonts w:hint="eastAsia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月，通辽市委召开金融系统调研座谈会，听取驻市金融机构对优化金融环境、助推实体经济发展的意见建议</w:t>
      </w:r>
      <w:r>
        <w:rPr>
          <w:rFonts w:hint="eastAsia" w:eastAsia="仿宋_GB2312" w:cs="仿宋_GB2312"/>
          <w:sz w:val="32"/>
          <w:szCs w:val="32"/>
          <w:lang w:val="en-US" w:eastAsia="zh-CN"/>
        </w:rPr>
        <w:t>。会议指出，为进一步优化我市营商环境，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做好稳金融、促发展、防风险等工作，</w:t>
      </w:r>
      <w:r>
        <w:rPr>
          <w:rFonts w:hint="eastAsia" w:eastAsia="仿宋_GB2312" w:cs="仿宋_GB2312"/>
          <w:sz w:val="32"/>
          <w:szCs w:val="32"/>
          <w:lang w:val="en-US" w:eastAsia="zh-CN"/>
        </w:rPr>
        <w:t>各行业主管部门要立足工作实际，梳理制定金融支持我市经济社会高质量发展的一揽子政策措施。</w:t>
      </w:r>
      <w:r>
        <w:rPr>
          <w:rFonts w:hint="eastAsia" w:ascii="仿宋" w:hAnsi="仿宋" w:eastAsia="仿宋" w:cs="仿宋"/>
          <w:sz w:val="32"/>
          <w:szCs w:val="32"/>
        </w:rPr>
        <w:t>针对金融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业发展</w:t>
      </w:r>
      <w:r>
        <w:rPr>
          <w:rFonts w:hint="eastAsia" w:ascii="仿宋" w:hAnsi="仿宋" w:eastAsia="仿宋" w:cs="仿宋"/>
          <w:sz w:val="32"/>
          <w:szCs w:val="32"/>
        </w:rPr>
        <w:t>存在的问题和短板，为充分发挥金融服务实体经济作用，按照市委、市政府的部署要求，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市金融办</w:t>
      </w:r>
      <w:r>
        <w:rPr>
          <w:rFonts w:hint="eastAsia" w:eastAsia="仿宋_GB2312" w:cs="仿宋_GB2312"/>
          <w:sz w:val="32"/>
          <w:szCs w:val="32"/>
          <w:lang w:val="en-US" w:eastAsia="zh-CN"/>
        </w:rPr>
        <w:t>联合市农牧局、工信局、商务局、人民银行等部门，</w:t>
      </w:r>
      <w:r>
        <w:rPr>
          <w:rFonts w:hint="eastAsia" w:ascii="仿宋" w:hAnsi="仿宋" w:eastAsia="仿宋" w:cs="仿宋"/>
          <w:sz w:val="32"/>
          <w:szCs w:val="32"/>
        </w:rPr>
        <w:t>起草了《通辽市金融稳固支持实体经济高质量发展实施意见》，有针对性的提出了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个方面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措施内容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</w:t>
      </w:r>
      <w:r>
        <w:rPr>
          <w:rFonts w:hint="eastAsia" w:ascii="黑体" w:hAnsi="黑体" w:eastAsia="黑体" w:cs="仿宋"/>
          <w:sz w:val="32"/>
          <w:szCs w:val="32"/>
          <w:lang w:eastAsia="zh-CN"/>
        </w:rPr>
        <w:t>《实施意见》</w:t>
      </w:r>
      <w:r>
        <w:rPr>
          <w:rFonts w:hint="eastAsia" w:ascii="黑体" w:hAnsi="黑体" w:eastAsia="黑体" w:cs="黑体"/>
          <w:sz w:val="32"/>
          <w:szCs w:val="32"/>
        </w:rPr>
        <w:t>主要内容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40" w:lineRule="exact"/>
        <w:ind w:left="0" w:leftChars="0" w:right="0" w:rightChars="0"/>
        <w:jc w:val="both"/>
        <w:textAlignment w:val="auto"/>
        <w:outlineLvl w:val="9"/>
        <w:rPr>
          <w:rStyle w:val="12"/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Style w:val="12"/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   此</w:t>
      </w:r>
      <w:r>
        <w:rPr>
          <w:rStyle w:val="12"/>
          <w:rFonts w:hint="eastAsia" w:eastAsia="仿宋_GB2312" w:cs="Times New Roman"/>
          <w:color w:val="auto"/>
          <w:sz w:val="32"/>
          <w:szCs w:val="32"/>
          <w:lang w:val="en-US" w:eastAsia="zh-CN"/>
        </w:rPr>
        <w:t>《实施意见》</w:t>
      </w:r>
      <w:r>
        <w:rPr>
          <w:rStyle w:val="12"/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共分四部分。</w:t>
      </w:r>
    </w:p>
    <w:p>
      <w:pPr>
        <w:spacing w:line="560" w:lineRule="exact"/>
        <w:ind w:firstLine="643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Style w:val="12"/>
          <w:rFonts w:hint="eastAsia" w:ascii="Times New Roman" w:hAnsi="Times New Roman" w:eastAsia="楷体_GB2312" w:cs="楷体_GB2312"/>
          <w:b/>
          <w:bCs/>
          <w:color w:val="auto"/>
          <w:sz w:val="32"/>
          <w:szCs w:val="32"/>
          <w:lang w:val="en-US" w:eastAsia="zh-CN"/>
        </w:rPr>
        <w:t>第一部分，</w:t>
      </w:r>
      <w:r>
        <w:rPr>
          <w:rStyle w:val="12"/>
          <w:rFonts w:hint="eastAsia" w:eastAsia="楷体_GB2312" w:cs="楷体_GB2312"/>
          <w:b/>
          <w:bCs/>
          <w:color w:val="auto"/>
          <w:sz w:val="32"/>
          <w:szCs w:val="32"/>
          <w:lang w:val="en-US" w:eastAsia="zh-CN"/>
        </w:rPr>
        <w:t>总体要求</w:t>
      </w:r>
      <w:r>
        <w:rPr>
          <w:rStyle w:val="12"/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。</w:t>
      </w:r>
      <w:r>
        <w:rPr>
          <w:rFonts w:ascii="Times New Roman" w:hAnsi="Times New Roman" w:eastAsia="仿宋_GB2312" w:cs="Times New Roman"/>
          <w:sz w:val="32"/>
          <w:szCs w:val="32"/>
        </w:rPr>
        <w:t>以习近平新时代中国特色社会主义思想为指导，统筹抓好政金企对接、金融支持产业发展、资本市场建设、优化金融营商环境等关键环节，为推动经济运行全面恢复到合理区间提供强有力的金融支撑。</w:t>
      </w:r>
    </w:p>
    <w:p>
      <w:pPr>
        <w:spacing w:line="560" w:lineRule="exact"/>
        <w:ind w:firstLine="643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Style w:val="12"/>
          <w:rFonts w:hint="eastAsia" w:ascii="Times New Roman" w:hAnsi="Times New Roman" w:eastAsia="楷体_GB2312" w:cs="楷体_GB2312"/>
          <w:b/>
          <w:bCs/>
          <w:color w:val="auto"/>
          <w:sz w:val="32"/>
          <w:szCs w:val="32"/>
          <w:lang w:val="en-US" w:eastAsia="zh-CN"/>
        </w:rPr>
        <w:t xml:space="preserve"> 第二部分，工作目标。</w:t>
      </w:r>
      <w:r>
        <w:rPr>
          <w:rFonts w:ascii="Times New Roman" w:hAnsi="Times New Roman" w:eastAsia="仿宋_GB2312" w:cs="Times New Roman"/>
          <w:sz w:val="32"/>
          <w:szCs w:val="32"/>
        </w:rPr>
        <w:t>政金企对接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方面要</w:t>
      </w:r>
      <w:r>
        <w:rPr>
          <w:rFonts w:ascii="Times New Roman" w:hAnsi="Times New Roman" w:eastAsia="仿宋_GB2312" w:cs="Times New Roman"/>
          <w:sz w:val="32"/>
          <w:szCs w:val="32"/>
        </w:rPr>
        <w:t>建立多元化政金企对接机制，实现项目申请与金融资源更多渠道、更广范围对接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；</w:t>
      </w:r>
      <w:r>
        <w:rPr>
          <w:rFonts w:ascii="Times New Roman" w:hAnsi="Times New Roman" w:eastAsia="仿宋_GB2312" w:cs="Times New Roman"/>
          <w:sz w:val="32"/>
          <w:szCs w:val="32"/>
        </w:rPr>
        <w:t>金融服务实体经济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方面，</w:t>
      </w:r>
      <w:r>
        <w:rPr>
          <w:rFonts w:ascii="Times New Roman" w:hAnsi="Times New Roman" w:eastAsia="仿宋_GB2312" w:cs="Times New Roman"/>
          <w:sz w:val="32"/>
          <w:szCs w:val="32"/>
        </w:rPr>
        <w:t>2022年底力争全市银行业各项贷款余额增加150亿元以上，贷款企业数量超过去年同期水平，其中在银行业系统首次获得贷款的“首贷户”新增200户以上。资本市场建设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方面，</w:t>
      </w:r>
      <w:r>
        <w:rPr>
          <w:rFonts w:ascii="Times New Roman" w:hAnsi="Times New Roman" w:eastAsia="仿宋_GB2312" w:cs="Times New Roman"/>
          <w:sz w:val="32"/>
          <w:szCs w:val="32"/>
        </w:rPr>
        <w:t>重点企业上市工作取得阶段性进展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</w:t>
      </w:r>
      <w:r>
        <w:rPr>
          <w:rFonts w:ascii="Times New Roman" w:hAnsi="Times New Roman" w:eastAsia="仿宋_GB2312" w:cs="Times New Roman"/>
          <w:sz w:val="32"/>
          <w:szCs w:val="32"/>
        </w:rPr>
        <w:t>后备企业培育形成“培育孵化一批、辅导申报一批、挂牌上市一批”的梯次推进格局。优化金融生态环境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方面，</w:t>
      </w:r>
      <w:r>
        <w:rPr>
          <w:rFonts w:ascii="Times New Roman" w:hAnsi="Times New Roman" w:eastAsia="仿宋_GB2312" w:cs="Times New Roman"/>
          <w:sz w:val="32"/>
          <w:szCs w:val="32"/>
        </w:rPr>
        <w:t>不良贷款力争实现双降，高风险机构逐步达到摘帽标准。非法集资、高利贷等金融违法犯罪活动发生率进一步下降，金融营商环境明显改善。</w:t>
      </w:r>
    </w:p>
    <w:p>
      <w:pPr>
        <w:spacing w:line="560" w:lineRule="exact"/>
        <w:ind w:firstLine="643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Style w:val="12"/>
          <w:rFonts w:hint="eastAsia" w:ascii="Times New Roman" w:hAnsi="Times New Roman" w:eastAsia="楷体_GB2312" w:cs="楷体_GB2312"/>
          <w:b/>
          <w:bCs/>
          <w:color w:val="auto"/>
          <w:sz w:val="32"/>
          <w:szCs w:val="32"/>
          <w:lang w:val="en-US" w:eastAsia="zh-CN"/>
        </w:rPr>
        <w:t xml:space="preserve"> 第三部分</w:t>
      </w:r>
      <w:r>
        <w:rPr>
          <w:rStyle w:val="12"/>
          <w:rFonts w:hint="eastAsia"/>
          <w:b/>
          <w:bCs/>
          <w:color w:val="auto"/>
          <w:kern w:val="0"/>
          <w:lang w:val="en-US" w:eastAsia="zh-CN"/>
        </w:rPr>
        <w:t>，</w:t>
      </w:r>
      <w:r>
        <w:rPr>
          <w:rStyle w:val="12"/>
          <w:rFonts w:hint="eastAsia" w:ascii="Times New Roman" w:hAnsi="Times New Roman" w:eastAsia="楷体_GB2312" w:cs="楷体_GB2312"/>
          <w:b/>
          <w:bCs/>
          <w:color w:val="auto"/>
          <w:sz w:val="32"/>
          <w:szCs w:val="32"/>
          <w:lang w:val="en-US" w:eastAsia="zh-CN"/>
        </w:rPr>
        <w:t>主要措施</w:t>
      </w:r>
      <w:r>
        <w:rPr>
          <w:rStyle w:val="12"/>
          <w:rFonts w:hint="eastAsia"/>
          <w:b/>
          <w:bCs/>
          <w:color w:val="auto"/>
          <w:kern w:val="0"/>
          <w:lang w:val="en-US" w:eastAsia="zh-CN"/>
        </w:rPr>
        <w:t>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共分六个部分。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一是</w:t>
      </w:r>
      <w:r>
        <w:rPr>
          <w:rFonts w:ascii="Times New Roman" w:hAnsi="Times New Roman" w:eastAsia="仿宋_GB2312" w:cs="Times New Roman"/>
          <w:sz w:val="32"/>
          <w:szCs w:val="32"/>
        </w:rPr>
        <w:t>强化政金企精准对接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，包括创设常态化对接服务、</w:t>
      </w:r>
      <w:r>
        <w:rPr>
          <w:rFonts w:ascii="Times New Roman" w:hAnsi="Times New Roman" w:eastAsia="仿宋_GB2312" w:cs="Times New Roman"/>
          <w:sz w:val="32"/>
          <w:szCs w:val="32"/>
        </w:rPr>
        <w:t>推动线上对接服务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Times New Roman"/>
          <w:sz w:val="32"/>
          <w:szCs w:val="32"/>
        </w:rPr>
        <w:t>组织专项对接服务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Times New Roman"/>
          <w:sz w:val="32"/>
          <w:szCs w:val="32"/>
        </w:rPr>
        <w:t>建立清单推送落实机制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Times New Roman"/>
          <w:sz w:val="32"/>
          <w:szCs w:val="32"/>
        </w:rPr>
        <w:t>开展宣传辅导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等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5条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措施。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eastAsia="zh-CN"/>
        </w:rPr>
        <w:t>二是</w:t>
      </w:r>
      <w:r>
        <w:rPr>
          <w:rFonts w:ascii="Times New Roman" w:hAnsi="Times New Roman" w:eastAsia="仿宋_GB2312" w:cs="Times New Roman"/>
          <w:sz w:val="32"/>
          <w:szCs w:val="32"/>
        </w:rPr>
        <w:t>加大农牧业发展及乡村振兴金融支持力度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，包括</w:t>
      </w:r>
      <w:bookmarkStart w:id="0" w:name="bookmark4"/>
      <w:r>
        <w:rPr>
          <w:rFonts w:ascii="Times New Roman" w:hAnsi="Times New Roman" w:eastAsia="仿宋_GB2312" w:cs="Times New Roman"/>
          <w:sz w:val="32"/>
          <w:szCs w:val="32"/>
        </w:rPr>
        <w:t>释放国有银行“示范行”政策红利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Times New Roman"/>
          <w:sz w:val="32"/>
          <w:szCs w:val="32"/>
        </w:rPr>
        <w:t>完善农村牧区信用体系建设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Times New Roman"/>
          <w:sz w:val="32"/>
          <w:szCs w:val="32"/>
        </w:rPr>
        <w:t>增设普惠金融服务窗口</w:t>
      </w:r>
      <w:bookmarkEnd w:id="0"/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Times New Roman"/>
          <w:sz w:val="32"/>
          <w:szCs w:val="32"/>
        </w:rPr>
        <w:t>丰富贷款抵押范围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等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11条措施。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三是</w:t>
      </w:r>
      <w:r>
        <w:rPr>
          <w:rFonts w:ascii="Times New Roman" w:hAnsi="Times New Roman" w:eastAsia="仿宋_GB2312" w:cs="Times New Roman"/>
          <w:sz w:val="32"/>
          <w:szCs w:val="32"/>
        </w:rPr>
        <w:t>加大对工业发展的金融支持力度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，包括</w:t>
      </w:r>
      <w:r>
        <w:rPr>
          <w:rFonts w:ascii="Times New Roman" w:hAnsi="Times New Roman" w:eastAsia="仿宋_GB2312" w:cs="Times New Roman"/>
          <w:sz w:val="32"/>
          <w:szCs w:val="32"/>
        </w:rPr>
        <w:t>组织开展银团贷款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和</w:t>
      </w:r>
      <w:r>
        <w:rPr>
          <w:rFonts w:ascii="Times New Roman" w:hAnsi="Times New Roman" w:eastAsia="仿宋_GB2312" w:cs="Times New Roman"/>
          <w:sz w:val="32"/>
          <w:szCs w:val="32"/>
        </w:rPr>
        <w:t>“拼盘贷款”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Times New Roman"/>
          <w:sz w:val="32"/>
          <w:szCs w:val="32"/>
        </w:rPr>
        <w:t>打造现代能源金融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Times New Roman"/>
          <w:sz w:val="32"/>
          <w:szCs w:val="32"/>
        </w:rPr>
        <w:t>创新绿色金融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、发展</w:t>
      </w:r>
      <w:r>
        <w:rPr>
          <w:rFonts w:ascii="Times New Roman" w:hAnsi="Times New Roman" w:eastAsia="仿宋_GB2312" w:cs="Times New Roman"/>
          <w:sz w:val="32"/>
          <w:szCs w:val="32"/>
        </w:rPr>
        <w:t>科创金融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Times New Roman"/>
          <w:sz w:val="32"/>
          <w:szCs w:val="32"/>
        </w:rPr>
        <w:t>设立企业应急转贷基金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等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10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条措施。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四是</w:t>
      </w:r>
      <w:r>
        <w:rPr>
          <w:rFonts w:ascii="Times New Roman" w:hAnsi="Times New Roman" w:eastAsia="仿宋_GB2312" w:cs="Times New Roman"/>
          <w:sz w:val="32"/>
          <w:szCs w:val="32"/>
        </w:rPr>
        <w:t>提高对服务业发展金融支持力度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，包括用好央行政策工具、</w:t>
      </w:r>
      <w:r>
        <w:rPr>
          <w:rFonts w:ascii="Times New Roman" w:hAnsi="Times New Roman" w:eastAsia="仿宋_GB2312" w:cs="Times New Roman"/>
          <w:sz w:val="32"/>
          <w:szCs w:val="32"/>
        </w:rPr>
        <w:t>助力企业纾困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、推动金融提振消费等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8条措施。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五是</w:t>
      </w:r>
      <w:r>
        <w:rPr>
          <w:rFonts w:ascii="Times New Roman" w:hAnsi="Times New Roman" w:eastAsia="仿宋_GB2312" w:cs="Times New Roman"/>
          <w:sz w:val="32"/>
          <w:szCs w:val="32"/>
        </w:rPr>
        <w:t>强化资本市场建设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，按照自治区要求需单独制定</w:t>
      </w:r>
      <w:r>
        <w:rPr>
          <w:rFonts w:ascii="Times New Roman" w:hAnsi="Times New Roman" w:eastAsia="仿宋_GB2312" w:cs="Times New Roman"/>
          <w:sz w:val="32"/>
          <w:szCs w:val="32"/>
        </w:rPr>
        <w:t>《通辽市推进企业上市挂牌实施方案》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，提请</w:t>
      </w:r>
      <w:r>
        <w:rPr>
          <w:rFonts w:hint="eastAsia" w:eastAsia="仿宋_GB2312" w:cs="Times New Roman"/>
          <w:sz w:val="32"/>
          <w:szCs w:val="32"/>
          <w:lang w:eastAsia="zh-CN"/>
        </w:rPr>
        <w:t>市政府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审议</w:t>
      </w:r>
      <w:r>
        <w:rPr>
          <w:rFonts w:hint="eastAsia" w:eastAsia="仿宋_GB2312" w:cs="Times New Roman"/>
          <w:sz w:val="32"/>
          <w:szCs w:val="32"/>
          <w:lang w:eastAsia="zh-CN"/>
        </w:rPr>
        <w:t>通过后下发实施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eastAsia="zh-CN"/>
        </w:rPr>
        <w:t>六是</w:t>
      </w:r>
      <w:r>
        <w:rPr>
          <w:rFonts w:ascii="Times New Roman" w:hAnsi="Times New Roman" w:eastAsia="仿宋_GB2312" w:cs="Times New Roman"/>
          <w:sz w:val="32"/>
          <w:szCs w:val="32"/>
        </w:rPr>
        <w:t>优化金融生态环境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，包括</w:t>
      </w:r>
      <w:r>
        <w:rPr>
          <w:rFonts w:ascii="Times New Roman" w:hAnsi="Times New Roman" w:eastAsia="仿宋_GB2312" w:cs="Times New Roman"/>
          <w:sz w:val="32"/>
          <w:szCs w:val="32"/>
        </w:rPr>
        <w:t>提升金融服务效率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Times New Roman"/>
          <w:sz w:val="32"/>
          <w:szCs w:val="32"/>
        </w:rPr>
        <w:t>完善融资担保体系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Times New Roman"/>
          <w:sz w:val="32"/>
          <w:szCs w:val="32"/>
        </w:rPr>
        <w:t>完善金融纠纷多元化解机制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Times New Roman"/>
          <w:sz w:val="32"/>
          <w:szCs w:val="32"/>
        </w:rPr>
        <w:t>防范金融领域风险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等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7条措施。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540" w:lineRule="exact"/>
        <w:ind w:left="0" w:leftChars="0" w:right="0" w:rightChars="0" w:firstLine="514" w:firstLineChars="160"/>
        <w:jc w:val="both"/>
        <w:textAlignment w:val="auto"/>
        <w:outlineLvl w:val="9"/>
        <w:rPr>
          <w:rFonts w:ascii="Times New Roman" w:hAnsi="Times New Roman" w:eastAsia="楷体_GB2312" w:cs="Times New Roman"/>
          <w:b/>
          <w:bCs/>
          <w:sz w:val="32"/>
          <w:szCs w:val="32"/>
        </w:rPr>
      </w:pPr>
      <w:r>
        <w:rPr>
          <w:rStyle w:val="12"/>
          <w:rFonts w:hint="eastAsia" w:ascii="Times New Roman" w:hAnsi="Times New Roman" w:eastAsia="楷体_GB2312" w:cs="楷体_GB2312"/>
          <w:b/>
          <w:bCs/>
          <w:color w:val="auto"/>
          <w:sz w:val="32"/>
          <w:szCs w:val="32"/>
          <w:lang w:val="en-US" w:eastAsia="zh-CN"/>
        </w:rPr>
        <w:t xml:space="preserve"> 第四部分，保障措施。</w:t>
      </w:r>
      <w:r>
        <w:rPr>
          <w:rFonts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压实工作责任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，</w:t>
      </w:r>
      <w:r>
        <w:rPr>
          <w:rFonts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建立调度机制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，</w:t>
      </w:r>
      <w:r>
        <w:rPr>
          <w:rFonts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加强考核评估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，</w:t>
      </w:r>
      <w:r>
        <w:rPr>
          <w:rFonts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强化舆论宣传。</w:t>
      </w:r>
    </w:p>
    <w:p>
      <w:pPr>
        <w:spacing w:line="56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</w:p>
    <w:p>
      <w:pPr>
        <w:spacing w:line="560" w:lineRule="exact"/>
        <w:ind w:firstLine="4800" w:firstLineChars="15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                    </w:t>
      </w:r>
      <w:bookmarkStart w:id="1" w:name="_GoBack"/>
      <w:bookmarkEnd w:id="1"/>
    </w:p>
    <w:p>
      <w:pPr>
        <w:rPr>
          <w:rFonts w:hint="eastAsia" w:ascii="仿宋" w:hAnsi="仿宋" w:eastAsia="仿宋" w:cs="仿宋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onsolas">
    <w:panose1 w:val="020B0609020204030204"/>
    <w:charset w:val="00"/>
    <w:family w:val="auto"/>
    <w:pitch w:val="default"/>
    <w:sig w:usb0="E10002FF" w:usb1="4000FCFF" w:usb2="00000009" w:usb3="00000000" w:csb0="600001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VhYTIxNzUwYWU0NmNiYzhjM2MxOTQxODViN2JhM2YifQ=="/>
  </w:docVars>
  <w:rsids>
    <w:rsidRoot w:val="1DF67681"/>
    <w:rsid w:val="095F70A3"/>
    <w:rsid w:val="1D667543"/>
    <w:rsid w:val="1DF67681"/>
    <w:rsid w:val="69AA611C"/>
    <w:rsid w:val="6D120EDE"/>
    <w:rsid w:val="7C892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qFormat="1" w:uiPriority="99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300" w:beforeAutospacing="0" w:after="150" w:afterAutospacing="0" w:line="17" w:lineRule="atLeast"/>
      <w:ind w:left="0" w:right="0"/>
      <w:jc w:val="left"/>
    </w:pPr>
    <w:rPr>
      <w:rFonts w:hint="eastAsia" w:ascii="宋体" w:hAnsi="宋体" w:eastAsia="宋体" w:cs="宋体"/>
      <w:b/>
      <w:kern w:val="44"/>
      <w:sz w:val="54"/>
      <w:szCs w:val="54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20"/>
    </w:pPr>
  </w:style>
  <w:style w:type="paragraph" w:styleId="4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Normal (Web)"/>
    <w:unhideWhenUsed/>
    <w:qFormat/>
    <w:uiPriority w:val="99"/>
    <w:pPr>
      <w:widowControl/>
      <w:spacing w:before="100" w:beforeLines="0" w:beforeAutospacing="1" w:after="100" w:afterLines="0" w:afterAutospacing="1"/>
      <w:jc w:val="left"/>
    </w:pPr>
    <w:rPr>
      <w:rFonts w:ascii="宋体" w:hAnsi="宋体" w:eastAsia="宋体" w:cs="宋体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FollowedHyperlink"/>
    <w:basedOn w:val="7"/>
    <w:qFormat/>
    <w:uiPriority w:val="0"/>
    <w:rPr>
      <w:color w:val="337AB7"/>
      <w:sz w:val="18"/>
      <w:szCs w:val="18"/>
      <w:u w:val="none"/>
    </w:rPr>
  </w:style>
  <w:style w:type="character" w:styleId="10">
    <w:name w:val="Emphasis"/>
    <w:basedOn w:val="7"/>
    <w:qFormat/>
    <w:uiPriority w:val="0"/>
    <w:rPr>
      <w:i/>
    </w:rPr>
  </w:style>
  <w:style w:type="character" w:styleId="11">
    <w:name w:val="HTML Definition"/>
    <w:basedOn w:val="7"/>
    <w:qFormat/>
    <w:uiPriority w:val="0"/>
    <w:rPr>
      <w:i/>
    </w:rPr>
  </w:style>
  <w:style w:type="character" w:styleId="12">
    <w:name w:val="HTML Typewriter"/>
    <w:basedOn w:val="7"/>
    <w:unhideWhenUsed/>
    <w:qFormat/>
    <w:uiPriority w:val="99"/>
    <w:rPr>
      <w:rFonts w:ascii="宋体" w:hAnsi="宋体" w:eastAsia="宋体" w:cs="宋体"/>
      <w:sz w:val="24"/>
      <w:szCs w:val="24"/>
    </w:rPr>
  </w:style>
  <w:style w:type="character" w:styleId="13">
    <w:name w:val="Hyperlink"/>
    <w:basedOn w:val="7"/>
    <w:qFormat/>
    <w:uiPriority w:val="0"/>
    <w:rPr>
      <w:color w:val="337AB7"/>
      <w:sz w:val="18"/>
      <w:szCs w:val="18"/>
      <w:u w:val="none"/>
    </w:rPr>
  </w:style>
  <w:style w:type="character" w:styleId="14">
    <w:name w:val="HTML Code"/>
    <w:basedOn w:val="7"/>
    <w:qFormat/>
    <w:uiPriority w:val="0"/>
    <w:rPr>
      <w:rFonts w:ascii="Consolas" w:hAnsi="Consolas" w:eastAsia="Consolas" w:cs="Consolas"/>
      <w:color w:val="C7254E"/>
      <w:sz w:val="21"/>
      <w:szCs w:val="21"/>
      <w:shd w:val="clear" w:fill="F9F2F4"/>
    </w:rPr>
  </w:style>
  <w:style w:type="character" w:styleId="15">
    <w:name w:val="HTML Keyboard"/>
    <w:basedOn w:val="7"/>
    <w:qFormat/>
    <w:uiPriority w:val="0"/>
    <w:rPr>
      <w:rFonts w:hint="default" w:ascii="Consolas" w:hAnsi="Consolas" w:eastAsia="Consolas" w:cs="Consolas"/>
      <w:color w:val="FFFFFF"/>
      <w:sz w:val="21"/>
      <w:szCs w:val="21"/>
      <w:shd w:val="clear" w:fill="333333"/>
    </w:rPr>
  </w:style>
  <w:style w:type="character" w:styleId="16">
    <w:name w:val="HTML Sample"/>
    <w:basedOn w:val="7"/>
    <w:qFormat/>
    <w:uiPriority w:val="0"/>
    <w:rPr>
      <w:rFonts w:hint="default" w:ascii="Consolas" w:hAnsi="Consolas" w:eastAsia="Consolas" w:cs="Consolas"/>
      <w:sz w:val="21"/>
      <w:szCs w:val="21"/>
    </w:rPr>
  </w:style>
  <w:style w:type="character" w:customStyle="1" w:styleId="17">
    <w:name w:val="dqwz"/>
    <w:basedOn w:val="7"/>
    <w:qFormat/>
    <w:uiPriority w:val="0"/>
  </w:style>
  <w:style w:type="character" w:customStyle="1" w:styleId="18">
    <w:name w:val="dqwz1"/>
    <w:basedOn w:val="7"/>
    <w:qFormat/>
    <w:uiPriority w:val="0"/>
  </w:style>
  <w:style w:type="character" w:customStyle="1" w:styleId="19">
    <w:name w:val="nth-child(1)"/>
    <w:basedOn w:val="7"/>
    <w:qFormat/>
    <w:uiPriority w:val="0"/>
    <w:rPr>
      <w:vanish/>
    </w:rPr>
  </w:style>
  <w:style w:type="character" w:customStyle="1" w:styleId="20">
    <w:name w:val="huanf"/>
    <w:basedOn w:val="7"/>
    <w:qFormat/>
    <w:uiPriority w:val="0"/>
    <w:rPr>
      <w:sz w:val="21"/>
      <w:szCs w:val="21"/>
    </w:rPr>
  </w:style>
  <w:style w:type="character" w:customStyle="1" w:styleId="21">
    <w:name w:val="time2"/>
    <w:basedOn w:val="7"/>
    <w:qFormat/>
    <w:uiPriority w:val="0"/>
    <w:rPr>
      <w:color w:val="A7A7A7"/>
    </w:rPr>
  </w:style>
  <w:style w:type="character" w:customStyle="1" w:styleId="22">
    <w:name w:val="mengwen"/>
    <w:basedOn w:val="7"/>
    <w:qFormat/>
    <w:uiPriority w:val="0"/>
  </w:style>
  <w:style w:type="character" w:customStyle="1" w:styleId="23">
    <w:name w:val="acline"/>
    <w:basedOn w:val="7"/>
    <w:qFormat/>
    <w:uiPriority w:val="0"/>
  </w:style>
  <w:style w:type="character" w:customStyle="1" w:styleId="24">
    <w:name w:val="acline1"/>
    <w:basedOn w:val="7"/>
    <w:qFormat/>
    <w:uiPriority w:val="0"/>
  </w:style>
  <w:style w:type="character" w:customStyle="1" w:styleId="25">
    <w:name w:val="acline2"/>
    <w:basedOn w:val="7"/>
    <w:qFormat/>
    <w:uiPriority w:val="0"/>
  </w:style>
  <w:style w:type="character" w:customStyle="1" w:styleId="26">
    <w:name w:val="lypicbg1"/>
    <w:basedOn w:val="7"/>
    <w:qFormat/>
    <w:uiPriority w:val="0"/>
  </w:style>
  <w:style w:type="character" w:customStyle="1" w:styleId="27">
    <w:name w:val="lypicbg2"/>
    <w:basedOn w:val="7"/>
    <w:qFormat/>
    <w:uiPriority w:val="0"/>
    <w:rPr>
      <w:shd w:val="clear" w:fill="F8A90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1267</Words>
  <Characters>1307</Characters>
  <Lines>0</Lines>
  <Paragraphs>0</Paragraphs>
  <TotalTime>3</TotalTime>
  <ScaleCrop>false</ScaleCrop>
  <LinksUpToDate>false</LinksUpToDate>
  <CharactersWithSpaces>1319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2020-04-29T08:04:00Z</dcterms:created>
  <dc:creator>Z470</dc:creator>
  <cp:lastModifiedBy>耳高提</cp:lastModifiedBy>
  <cp:lastPrinted>2022-06-01T02:08:22Z</cp:lastPrinted>
  <dcterms:modified xsi:type="dcterms:W3CDTF">2022-06-01T02:08:43Z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C480BC65D2AF45CA986F28CA885F4EF3</vt:lpwstr>
  </property>
</Properties>
</file>